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90287" w14:textId="77777777" w:rsidR="002638F9" w:rsidRPr="00DD276A" w:rsidRDefault="002638F9" w:rsidP="002638F9">
      <w:pPr>
        <w:spacing w:after="0" w:line="240" w:lineRule="auto"/>
        <w:rPr>
          <w:rFonts w:ascii="Latho Light" w:hAnsi="Latho Light" w:cstheme="majorHAnsi"/>
          <w:sz w:val="24"/>
          <w:szCs w:val="24"/>
        </w:rPr>
      </w:pPr>
      <w:r w:rsidRPr="00DD276A">
        <w:rPr>
          <w:rFonts w:ascii="Latho Light" w:hAnsi="Latho Light" w:cstheme="majorHAnsi"/>
          <w:sz w:val="24"/>
          <w:szCs w:val="24"/>
        </w:rPr>
        <w:t xml:space="preserve">Identyfikator postępowania: </w:t>
      </w:r>
    </w:p>
    <w:p w14:paraId="71D84E6D" w14:textId="4CF93A19" w:rsidR="002638F9" w:rsidRPr="00DD276A" w:rsidRDefault="000954A1" w:rsidP="002638F9">
      <w:pPr>
        <w:spacing w:after="0" w:line="240" w:lineRule="auto"/>
        <w:rPr>
          <w:rFonts w:ascii="Latho Light" w:hAnsi="Latho Light" w:cstheme="majorHAnsi"/>
          <w:sz w:val="24"/>
          <w:szCs w:val="24"/>
        </w:rPr>
      </w:pPr>
      <w:r w:rsidRPr="00DD276A">
        <w:rPr>
          <w:rFonts w:ascii="Latho Light" w:hAnsi="Latho Light" w:cstheme="majorHAnsi"/>
          <w:color w:val="4F4F4F"/>
          <w:kern w:val="0"/>
          <w:sz w:val="24"/>
          <w:szCs w:val="24"/>
        </w:rPr>
        <w:t>GV/GW/WIS/</w:t>
      </w:r>
      <w:r w:rsidR="00D94E31">
        <w:rPr>
          <w:rFonts w:ascii="Latho Light" w:hAnsi="Latho Light" w:cstheme="majorHAnsi"/>
          <w:color w:val="4F4F4F"/>
          <w:kern w:val="0"/>
          <w:sz w:val="24"/>
          <w:szCs w:val="24"/>
        </w:rPr>
        <w:t>11/</w:t>
      </w:r>
      <w:r w:rsidRPr="00DD276A">
        <w:rPr>
          <w:rFonts w:ascii="Latho Light" w:hAnsi="Latho Light" w:cstheme="majorHAnsi"/>
          <w:color w:val="4F4F4F"/>
          <w:kern w:val="0"/>
          <w:sz w:val="24"/>
          <w:szCs w:val="24"/>
        </w:rPr>
        <w:t>2023</w:t>
      </w:r>
      <w:r w:rsidR="002638F9" w:rsidRPr="00DD276A">
        <w:rPr>
          <w:rFonts w:ascii="Latho Light" w:hAnsi="Latho Light" w:cstheme="majorHAnsi"/>
          <w:color w:val="4F4F4F"/>
          <w:kern w:val="0"/>
          <w:sz w:val="24"/>
          <w:szCs w:val="24"/>
        </w:rPr>
        <w:t xml:space="preserve">                                                          </w:t>
      </w:r>
      <w:r w:rsidR="00F1374E" w:rsidRPr="00DD276A">
        <w:rPr>
          <w:rFonts w:ascii="Latho Light" w:hAnsi="Latho Light" w:cstheme="majorHAnsi"/>
          <w:color w:val="4F4F4F"/>
          <w:kern w:val="0"/>
          <w:sz w:val="24"/>
          <w:szCs w:val="24"/>
        </w:rPr>
        <w:t xml:space="preserve">         </w:t>
      </w:r>
      <w:r w:rsidR="002638F9" w:rsidRPr="00DD276A">
        <w:rPr>
          <w:rFonts w:ascii="Latho Light" w:hAnsi="Latho Light" w:cstheme="majorHAnsi"/>
          <w:sz w:val="24"/>
          <w:szCs w:val="24"/>
        </w:rPr>
        <w:t xml:space="preserve">Warszawa, </w:t>
      </w:r>
      <w:r w:rsidRPr="00DD276A">
        <w:rPr>
          <w:rFonts w:ascii="Latho Light" w:hAnsi="Latho Light" w:cstheme="majorHAnsi"/>
          <w:sz w:val="24"/>
          <w:szCs w:val="24"/>
        </w:rPr>
        <w:t>15 kwietnia</w:t>
      </w:r>
      <w:r w:rsidR="002638F9" w:rsidRPr="00DD276A">
        <w:rPr>
          <w:rFonts w:ascii="Latho Light" w:hAnsi="Latho Light" w:cstheme="majorHAnsi"/>
          <w:sz w:val="24"/>
          <w:szCs w:val="24"/>
        </w:rPr>
        <w:t xml:space="preserve"> 2024 r. </w:t>
      </w:r>
    </w:p>
    <w:p w14:paraId="25555074" w14:textId="77777777" w:rsidR="002638F9" w:rsidRPr="00DD276A" w:rsidRDefault="002638F9" w:rsidP="002638F9">
      <w:pPr>
        <w:spacing w:line="240" w:lineRule="auto"/>
        <w:rPr>
          <w:rFonts w:ascii="Latho Light" w:hAnsi="Latho Light" w:cstheme="majorHAnsi"/>
          <w:sz w:val="24"/>
          <w:szCs w:val="24"/>
        </w:rPr>
      </w:pPr>
    </w:p>
    <w:p w14:paraId="6DEA6EA1" w14:textId="77777777" w:rsidR="002638F9" w:rsidRPr="00DD276A" w:rsidRDefault="002638F9" w:rsidP="002638F9">
      <w:pPr>
        <w:spacing w:line="240" w:lineRule="auto"/>
        <w:rPr>
          <w:rFonts w:ascii="Latho Light" w:hAnsi="Latho Light" w:cstheme="majorHAnsi"/>
          <w:sz w:val="24"/>
          <w:szCs w:val="24"/>
        </w:rPr>
      </w:pPr>
    </w:p>
    <w:p w14:paraId="6A8DEE5C" w14:textId="77777777" w:rsidR="002638F9" w:rsidRPr="00DD276A" w:rsidRDefault="002638F9" w:rsidP="002638F9">
      <w:pPr>
        <w:spacing w:line="240" w:lineRule="auto"/>
        <w:rPr>
          <w:rFonts w:ascii="Latho Light" w:hAnsi="Latho Light" w:cstheme="majorHAnsi"/>
          <w:sz w:val="24"/>
          <w:szCs w:val="24"/>
        </w:rPr>
      </w:pPr>
    </w:p>
    <w:p w14:paraId="6E3578D3" w14:textId="77777777" w:rsidR="002638F9" w:rsidRPr="00DD276A" w:rsidRDefault="002638F9" w:rsidP="002638F9">
      <w:pPr>
        <w:spacing w:line="240" w:lineRule="auto"/>
        <w:rPr>
          <w:rFonts w:ascii="Latho Light" w:hAnsi="Latho Light" w:cstheme="majorHAnsi"/>
          <w:sz w:val="24"/>
          <w:szCs w:val="24"/>
        </w:rPr>
      </w:pPr>
    </w:p>
    <w:p w14:paraId="14E57458" w14:textId="14693309" w:rsidR="002638F9" w:rsidRPr="00DD276A" w:rsidRDefault="002638F9" w:rsidP="002638F9">
      <w:pPr>
        <w:spacing w:line="240" w:lineRule="auto"/>
        <w:jc w:val="center"/>
        <w:rPr>
          <w:rFonts w:ascii="Latho Light" w:hAnsi="Latho Light" w:cstheme="majorHAnsi"/>
          <w:sz w:val="24"/>
          <w:szCs w:val="24"/>
        </w:rPr>
      </w:pPr>
      <w:r w:rsidRPr="00DD276A">
        <w:rPr>
          <w:rFonts w:ascii="Latho Light" w:hAnsi="Latho Light" w:cstheme="majorHAnsi"/>
          <w:sz w:val="24"/>
          <w:szCs w:val="24"/>
        </w:rPr>
        <w:t>INFORMACJA O UNIEWAŻNIENIE POSTĘPOWANIA</w:t>
      </w:r>
    </w:p>
    <w:p w14:paraId="464E3566" w14:textId="77777777" w:rsidR="002638F9" w:rsidRPr="00DD276A" w:rsidRDefault="002638F9" w:rsidP="002638F9">
      <w:pPr>
        <w:spacing w:line="240" w:lineRule="auto"/>
        <w:jc w:val="center"/>
        <w:rPr>
          <w:rFonts w:ascii="Latho Light" w:hAnsi="Latho Light" w:cstheme="majorHAnsi"/>
          <w:sz w:val="24"/>
          <w:szCs w:val="24"/>
        </w:rPr>
      </w:pPr>
    </w:p>
    <w:p w14:paraId="72B3F613" w14:textId="436B3381" w:rsidR="00314A88" w:rsidRPr="00DD276A" w:rsidRDefault="002638F9" w:rsidP="000954A1">
      <w:pPr>
        <w:spacing w:line="240" w:lineRule="auto"/>
        <w:jc w:val="both"/>
        <w:rPr>
          <w:rFonts w:ascii="Latho Light" w:hAnsi="Latho Light" w:cstheme="majorHAnsi"/>
          <w:sz w:val="24"/>
          <w:szCs w:val="24"/>
        </w:rPr>
      </w:pPr>
      <w:r w:rsidRPr="00DD276A">
        <w:rPr>
          <w:rFonts w:ascii="Latho Light" w:hAnsi="Latho Light" w:cstheme="majorHAnsi"/>
          <w:sz w:val="24"/>
          <w:szCs w:val="24"/>
        </w:rPr>
        <w:t xml:space="preserve">W związku z wystąpieniem okoliczności uzasadniających unieważnienie Postępowania </w:t>
      </w:r>
      <w:r w:rsidR="000954A1" w:rsidRPr="00DD276A">
        <w:rPr>
          <w:rFonts w:ascii="Latho Light" w:hAnsi="Latho Light" w:cstheme="majorHAnsi"/>
          <w:sz w:val="24"/>
          <w:szCs w:val="24"/>
        </w:rPr>
        <w:t>przetargowe</w:t>
      </w:r>
      <w:r w:rsidRPr="00DD276A">
        <w:rPr>
          <w:rFonts w:ascii="Latho Light" w:hAnsi="Latho Light" w:cstheme="majorHAnsi"/>
          <w:sz w:val="24"/>
          <w:szCs w:val="24"/>
        </w:rPr>
        <w:t xml:space="preserve"> </w:t>
      </w:r>
      <w:r w:rsidR="00DA0D51" w:rsidRPr="00DD276A">
        <w:rPr>
          <w:rFonts w:ascii="Latho Light" w:hAnsi="Latho Light" w:cstheme="majorHAnsi"/>
          <w:sz w:val="24"/>
          <w:szCs w:val="24"/>
        </w:rPr>
        <w:t>GV/</w:t>
      </w:r>
      <w:r w:rsidR="00F1374E" w:rsidRPr="00DD276A">
        <w:rPr>
          <w:rFonts w:ascii="Latho Light" w:hAnsi="Latho Light" w:cstheme="majorHAnsi"/>
          <w:sz w:val="24"/>
          <w:szCs w:val="24"/>
        </w:rPr>
        <w:t>GW/</w:t>
      </w:r>
      <w:r w:rsidR="000954A1" w:rsidRPr="00DD276A">
        <w:rPr>
          <w:rFonts w:ascii="Latho Light" w:hAnsi="Latho Light" w:cstheme="majorHAnsi"/>
          <w:sz w:val="24"/>
          <w:szCs w:val="24"/>
        </w:rPr>
        <w:t>WIS/</w:t>
      </w:r>
      <w:r w:rsidR="00D94E31">
        <w:rPr>
          <w:rFonts w:ascii="Latho Light" w:hAnsi="Latho Light" w:cstheme="majorHAnsi"/>
          <w:sz w:val="24"/>
          <w:szCs w:val="24"/>
        </w:rPr>
        <w:t>11/</w:t>
      </w:r>
      <w:r w:rsidR="00F1374E" w:rsidRPr="00DD276A">
        <w:rPr>
          <w:rFonts w:ascii="Latho Light" w:hAnsi="Latho Light" w:cstheme="majorHAnsi"/>
          <w:sz w:val="24"/>
          <w:szCs w:val="24"/>
        </w:rPr>
        <w:t>2023</w:t>
      </w:r>
      <w:r w:rsidR="00DA0D51" w:rsidRPr="00DD276A">
        <w:rPr>
          <w:rFonts w:ascii="Latho Light" w:hAnsi="Latho Light" w:cstheme="majorHAnsi"/>
          <w:sz w:val="24"/>
          <w:szCs w:val="24"/>
        </w:rPr>
        <w:t xml:space="preserve"> </w:t>
      </w:r>
      <w:r w:rsidRPr="00DD276A">
        <w:rPr>
          <w:rFonts w:ascii="Latho Light" w:hAnsi="Latho Light" w:cstheme="majorHAnsi"/>
          <w:sz w:val="24"/>
          <w:szCs w:val="24"/>
        </w:rPr>
        <w:t>pn.</w:t>
      </w:r>
      <w:r w:rsidRPr="00DD276A">
        <w:rPr>
          <w:rFonts w:ascii="Latho Light" w:hAnsi="Latho Light" w:cstheme="majorHAnsi"/>
          <w:i/>
          <w:iCs/>
          <w:color w:val="000000"/>
          <w:kern w:val="0"/>
          <w:sz w:val="24"/>
          <w:szCs w:val="24"/>
        </w:rPr>
        <w:t xml:space="preserve"> </w:t>
      </w:r>
      <w:r w:rsidRPr="00DD276A">
        <w:rPr>
          <w:rFonts w:ascii="Latho Light" w:hAnsi="Latho Light" w:cstheme="majorHAnsi"/>
          <w:b/>
          <w:bCs/>
          <w:i/>
          <w:iCs/>
          <w:color w:val="000000"/>
          <w:kern w:val="0"/>
          <w:sz w:val="24"/>
          <w:szCs w:val="24"/>
        </w:rPr>
        <w:t xml:space="preserve">" Realizacja w formule Zaprojektuj i Wybuduj polegająca na wykonaniu projektu budowlano-wykonawczego, </w:t>
      </w:r>
      <w:r w:rsidR="000954A1" w:rsidRPr="00DD276A">
        <w:rPr>
          <w:rFonts w:ascii="Latho Light" w:hAnsi="Latho Light" w:cstheme="majorHAnsi"/>
          <w:b/>
          <w:bCs/>
          <w:i/>
          <w:iCs/>
          <w:color w:val="000000"/>
          <w:kern w:val="0"/>
          <w:sz w:val="24"/>
          <w:szCs w:val="24"/>
        </w:rPr>
        <w:t>aranżacji wnętrz oraz robót budowlanych  i wykończeniowych związanych z remontem i przebudową Centrum Konferencji i Rekreacji Geovita w Wiśle wraz z uzyskaniem niezbędnych decyzji administracyjnych oraz dostosowaniem do wymogów marki własnej”</w:t>
      </w:r>
      <w:r w:rsidR="00F1374E" w:rsidRPr="00DD276A">
        <w:rPr>
          <w:rFonts w:ascii="Latho Light" w:hAnsi="Latho Light" w:cstheme="majorHAnsi"/>
          <w:sz w:val="24"/>
          <w:szCs w:val="24"/>
        </w:rPr>
        <w:t>,</w:t>
      </w:r>
      <w:r w:rsidRPr="00DD276A">
        <w:rPr>
          <w:rFonts w:ascii="Latho Light" w:hAnsi="Latho Light" w:cstheme="majorHAnsi"/>
          <w:sz w:val="24"/>
          <w:szCs w:val="24"/>
        </w:rPr>
        <w:t xml:space="preserve"> </w:t>
      </w:r>
      <w:r w:rsidR="00F1374E" w:rsidRPr="00DD276A">
        <w:rPr>
          <w:rFonts w:ascii="Latho Light" w:hAnsi="Latho Light" w:cstheme="majorHAnsi"/>
          <w:sz w:val="24"/>
          <w:szCs w:val="24"/>
        </w:rPr>
        <w:t xml:space="preserve">zwane </w:t>
      </w:r>
      <w:r w:rsidRPr="00DD276A">
        <w:rPr>
          <w:rFonts w:ascii="Latho Light" w:hAnsi="Latho Light" w:cstheme="majorHAnsi"/>
          <w:sz w:val="24"/>
          <w:szCs w:val="24"/>
        </w:rPr>
        <w:t>dalej: „Postępowanie</w:t>
      </w:r>
      <w:r w:rsidR="00DA0D51" w:rsidRPr="00DD276A">
        <w:rPr>
          <w:rFonts w:ascii="Latho Light" w:hAnsi="Latho Light" w:cstheme="majorHAnsi"/>
          <w:sz w:val="24"/>
          <w:szCs w:val="24"/>
        </w:rPr>
        <w:t>m</w:t>
      </w:r>
      <w:r w:rsidRPr="00DD276A">
        <w:rPr>
          <w:rFonts w:ascii="Latho Light" w:hAnsi="Latho Light" w:cstheme="majorHAnsi"/>
          <w:sz w:val="24"/>
          <w:szCs w:val="24"/>
        </w:rPr>
        <w:t>”, Zamawiający informuje o unieważnieniu w</w:t>
      </w:r>
      <w:r w:rsidR="00DA0D51" w:rsidRPr="00DD276A">
        <w:rPr>
          <w:rFonts w:ascii="Latho Light" w:hAnsi="Latho Light" w:cstheme="majorHAnsi"/>
          <w:sz w:val="24"/>
          <w:szCs w:val="24"/>
        </w:rPr>
        <w:t>/</w:t>
      </w:r>
      <w:r w:rsidRPr="00DD276A">
        <w:rPr>
          <w:rFonts w:ascii="Latho Light" w:hAnsi="Latho Light" w:cstheme="majorHAnsi"/>
          <w:sz w:val="24"/>
          <w:szCs w:val="24"/>
        </w:rPr>
        <w:t xml:space="preserve">w. Postępowania. </w:t>
      </w:r>
    </w:p>
    <w:sectPr w:rsidR="00314A88" w:rsidRPr="00DD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h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5D"/>
    <w:rsid w:val="000954A1"/>
    <w:rsid w:val="002638F9"/>
    <w:rsid w:val="00314A88"/>
    <w:rsid w:val="00D94E31"/>
    <w:rsid w:val="00DA0D51"/>
    <w:rsid w:val="00DD276A"/>
    <w:rsid w:val="00F1374E"/>
    <w:rsid w:val="00F3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41FF"/>
  <w15:chartTrackingRefBased/>
  <w15:docId w15:val="{CEE8A47B-DC3A-4E68-986C-2F6A0774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Kakietek</dc:creator>
  <cp:keywords/>
  <dc:description/>
  <cp:lastModifiedBy>Iwona Kakietek</cp:lastModifiedBy>
  <cp:revision>3</cp:revision>
  <dcterms:created xsi:type="dcterms:W3CDTF">2024-04-15T09:57:00Z</dcterms:created>
  <dcterms:modified xsi:type="dcterms:W3CDTF">2024-04-15T10:29:00Z</dcterms:modified>
</cp:coreProperties>
</file>